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Как в Казахстане развивается рынок «зеленого» финансирования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Для достижения Казахстаном углеродной нейтральности к 2060 году необходимым условием является привлечение «зеленых» инвестиций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0000FF"/>
          <w:sz w:val="28"/>
          <w:szCs w:val="28"/>
          <w:bdr w:val="none" w:sz="0" w:space="0" w:color="auto" w:frame="1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fldChar w:fldCharType="begin"/>
      </w:r>
      <w:r w:rsidRPr="001C47AE">
        <w:rPr>
          <w:rFonts w:ascii="Times New Roman" w:hAnsi="Times New Roman" w:cs="Times New Roman"/>
          <w:sz w:val="28"/>
          <w:szCs w:val="28"/>
          <w:lang w:eastAsia="ru-RU"/>
        </w:rPr>
        <w:instrText xml:space="preserve"> HYPERLINK "http://forbes.kz/authors/forbes_admin" </w:instrText>
      </w:r>
      <w:r w:rsidRPr="001C47AE">
        <w:rPr>
          <w:rFonts w:ascii="Times New Roman" w:hAnsi="Times New Roman" w:cs="Times New Roman"/>
          <w:sz w:val="28"/>
          <w:szCs w:val="28"/>
          <w:lang w:eastAsia="ru-RU"/>
        </w:rPr>
        <w:fldChar w:fldCharType="separate"/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fldChar w:fldCharType="end"/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858000" cy="4562475"/>
            <wp:effectExtent l="0" t="0" r="0" b="9525"/>
            <wp:docPr id="5" name="Рисунок 5" descr="https://img.forbes.kz/forbes-photobank/media/2024-06-10/dd114cd1-4805-43e9-82f7-2dbc8d393039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.forbes.kz/forbes-photobank/media/2024-06-10/dd114cd1-4805-43e9-82f7-2dbc8d393039.web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ФОТО: © UNDP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По предварительным оценкам Министерства национальной экономики Республики Казахстан, реализация этой амбициозной задачи потребует $647,5 млрд. (согласно проекту Стратегии углеродной нейтральности РК до 2060 года) в течение следующих 40 лет. При этом, государственные вливания предусматриваются на создание нормативно-правовой базы, а также финансовой и физической инфраструктуры.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Бóльшая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же часть финансирования, около 96,5% от общего объема, ожидается от частного сектора.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На вопросы отвечает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Сухроб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Ходжиматов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и.о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>. постоянного представителя ПРООН в Казахстане.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развивается рынок «зеленого» финансирования в Казахстане и какие существуют барьеры?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color w:val="0000FF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1257300" cy="762000"/>
            <wp:effectExtent l="0" t="0" r="0" b="0"/>
            <wp:docPr id="4" name="Рисунок 4" descr="Казахстан обеспечит Евросоюз зелёным водородом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захстан обеспечит Евросоюз зелёным водородом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8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Казахстан обеспечит Евросоюз зелёным водородом</w:t>
        </w:r>
      </w:hyperlink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9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Немецко-шведская компания </w:t>
        </w:r>
        <w:proofErr w:type="spellStart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Svevind</w:t>
        </w:r>
        <w:proofErr w:type="spellEnd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 построит в </w:t>
        </w:r>
        <w:proofErr w:type="spellStart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Мангистауской</w:t>
        </w:r>
        <w:proofErr w:type="spellEnd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 области один из ... →</w:t>
        </w:r>
      </w:hyperlink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- В Казахстане на сегодня сформированы базовые законодательные и регуляторные рамки для развития рынка зеленого финансирования. Принятый в прошлом году Экологический кодекс вводит таксономию зеленых проектов, дано законодательное определение зеленого финансирования, конкретных инструментов для экономического стимулирования деятельности, направленной на охрану окружающей среды. В декабре 2021 года принята таксономия «зеленых» проектов, подлежащих финансированию через «зеленые» облигации и кредиты. Таксономия даёт чёткие определения типов и технологий «зелёных» проектов, чтобы все участники рынка (банки, фонды, инвесторы, надзорные органы, пользователи) имели одинаковую базу для определения своих задач, программ и финансовых продуктов,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условий выдачи «зеленых» кредитов. Мы рады, что пилотирование первых зеленых инструментов ПРООН дало положительный импульс созданию и развитию рынку устойчивого финансирования в Казахстане.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Вместе с тем, недостаток знаний, дороговизна финансирования и настороженность финансовых институтов, а также существующая практика субсидирования ископаемого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топлива  пока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являются сдерживающими факторами для развития устойчивых проектов. ПРООН старается помогать пионерам «зелёных» инвестиций на этом трудном пути, создавая условия для снижения нагрузки на планету и обеспечения устойчивого экономического роста. Масштабная трансформация экономики требует огромных «зеленых» инвестиций, и хорошая новость заключается в том, что резерв имеется как на внутреннем, так и на внешних рынках.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Так, например, кредитный портфель банков второго уровня  на конец июля 2022 года </w:t>
      </w:r>
      <w:hyperlink r:id="rId10" w:history="1">
        <w:r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составил</w:t>
        </w:r>
      </w:hyperlink>
      <w:r w:rsidRPr="001C47AE">
        <w:rPr>
          <w:rFonts w:ascii="Times New Roman" w:hAnsi="Times New Roman" w:cs="Times New Roman"/>
          <w:sz w:val="28"/>
          <w:szCs w:val="28"/>
          <w:lang w:eastAsia="ru-RU"/>
        </w:rPr>
        <w:t> 20,4 трлн. тенге ($42,8 млрд), в том числе 4,0 трлн тенге ($8,4 млрд) кредитов, выданных малым и средним предприятиям (МСП). На конец августа профицит ликвидности на финансовом рынке РК </w:t>
      </w:r>
      <w:hyperlink r:id="rId11" w:history="1">
        <w:r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составил</w:t>
        </w:r>
      </w:hyperlink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 2,7 трлн тенге ($5,7 млрд)  в стране деньги есть. Вместе с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тем,  даже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при значительном снижении цен на «зеленые» технологии, существующие условия по займам  (кредиты с процентной ставкой ок.19%) не позволяют в должной мере окупить вложения и погасить кредит. Кроме того, банки второго уровня, как правило, очень осторожны и неохотно кредитуют «зеленые» проекты, считая их рискованными.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То есть, к барьерам, сдерживающим использование «зеленых» технологий, можно отнести затрудненный доступ к финансированию, его высокую стоимость, пробелы законодательного регулирования, а также система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тарифообразования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на традиционные энергоносители.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В части устойчивого государственного финансирования ПРООН играет ключевую роль в поддержке интеграции Целей устойчивого развития (ЦУР) в стратегическое планирование и приведении системы государственного бюджетирования в соответствие с ЦУР. Так,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например,  ПРООН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вносит свой вклад в обсуждение реформы налогово-бюджетной политики, чтобы реформировать систему субсидирования ископаемого топлива с перераспределением высвободившихся средств на адресную социальную помощь уязвимым слоям населения и поддержку таких устойчивых секторов, как возобновляемая энергетика, устойчивый транспорт и др.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- Какие инструменты стимулирования частных инвестиций в «зеленый» бизнес уже внедрены?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- Совместно с АО «Фонд развития предпринимательства «Даму» протестированы несколько финансовых инструментов, направленных на повышение доступности «зеленых» финансов для МСП в секторах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энергоэффективности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и возобновляемых источников энергии (ВИЭ) в рамках проектов ПРООН и правительства РК, финансируемых Глобальным Экологическим Фондом.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Инструмент субсидирования суммы основного долга, предусматривающий погашение до 40% кредита после запуска и принятия проекта (техническая верификация), был внедрен в 2022 году. С 2018 года использовался инструмент субсидирования ставки по кредитам, и 36 проектов были поддержаны путем выплаты субсидии процентной ставки банку, уменьшив платежи за заёмное финансирование.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color w:val="0000FF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1257300" cy="762000"/>
            <wp:effectExtent l="0" t="0" r="0" b="0"/>
            <wp:docPr id="3" name="Рисунок 3" descr="Как финансировать зеленую инфраструктуру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финансировать зеленую инфраструктуру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14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Как финансировать зеленую инфраструктуру</w:t>
        </w:r>
      </w:hyperlink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15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Для стимулирования развития и борьбы с изменением климата странам с </w:t>
        </w:r>
        <w:proofErr w:type="spellStart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формир</w:t>
        </w:r>
        <w:proofErr w:type="spellEnd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... →</w:t>
        </w:r>
      </w:hyperlink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Одним из новых инструментов является кредитная гарантия (частичная замена залога). Принцип заключается в том, что ПРООН берет на себя обязательство в качестве гаранта погашения долга или выполнения договорного обязательства от имени «зеленого» проекта банку в случае дефолта. Гарантируется до 85% от суммы кредита сроком на 3 года. Гарантированная сумма кредита не может превышать 350 млн тенге на один проект. Мы очень рады, что инициатором данного проекта выступило Министерство индустрии и инфраструктурного развития Республики Казахстан.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Сочетание обоих инструментов субсидирования и гарантирования позволяет оказывать поддержку «зеленым» проектам, которые в противном случае считались бы «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высокорисковыми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» и для которых стоимость заимствований была бы непомерно высокой. В результате, реализация такого проекта стала бы невозможной несмотря на экологические (снижение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вбросов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СО2), социальные (улучшение условий жизни населения, создание рабочих мест) и экономические (частные инвестиции) выгоды проекта.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Хорошим примером «зеленого» финансирования является комплексный проект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энергоэффективной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модернизации и установки технологии ВИЭ в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Зерендинском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молодежном оздоровительном лагере «Парус». В результате реализованных мероприятий значительно сократились счета за электроэнергию и отопление, а экономия была направлена на обслуживание долга и позволила снизить себестоимость услуг лагеря. Улучшив внешний вид зданий, и обеспечив комфорт детям во время пребывания в лагере, «зеленые» инвестиции сделали лагерь более конкурентоспособным и позволили получить долгосрочный контракт с государством.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858000" cy="4572000"/>
            <wp:effectExtent l="0" t="0" r="0" b="0"/>
            <wp:docPr id="2" name="Рисунок 2" descr="Сухроб Ходжима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ухроб Ходжиматов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Сухроб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Ходжиматов</w:t>
      </w:r>
      <w:proofErr w:type="spellEnd"/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ФОТО: © UNDP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 рассказали о точечном пилотировании некоторых инструментов, как можно масштабировать такие инициативы и привлекать зеленые инвестиции на уровне страны?  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>«Зеленые» облигации — еще один долговой инструмент, впервые реализованный в Казахстане при поддержке ПРООН.  Фонд «Даму» выступил эмитентом дебютных «зеленых» облигаций при поддержке ПРООН и Центра зеленых финансов МФЦА (ЦЗФ) 11 августа 2020 года на площадке Международного финансового центра «Астана», за что был отмечен международной наградой «Пионер зеленого рынка» (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Climate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Bonds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Award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2021). Партнер ПРООН ЦЗФ отметил, что этот выпуск помог создать устойчивый рынок облигаций в Казахстане. За ним последовали еще 3 выпуска облигаций ESG в тенге: два выпуска АБР на общую сумму $32,5 млн и выпуск ДАМУ на $2,4 млн. Привлеченные в рамках первого выпуска «зеленых» облигаций средства были направлены на строительство солнечной электрической станции мощностью 2 МВт, которая обеспечивает чистой энергией жителей поселков Шаульдер и ж/д станции Темир Туркестанской области.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ПРООН также содействовала запуску экспериментальных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факторинговых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операций в Казахстане, которые помогают решить проблему модернизации старого жилищного фонда и значительно сократить выбросы парниковых газов в строительном секторе и также решают проблему отсутствия залога для получения финансирования.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color w:val="0000FF"/>
          <w:sz w:val="28"/>
          <w:szCs w:val="28"/>
          <w:bdr w:val="none" w:sz="0" w:space="0" w:color="auto" w:frame="1"/>
          <w:lang w:eastAsia="ru-RU"/>
        </w:rPr>
        <w:lastRenderedPageBreak/>
        <w:drawing>
          <wp:inline distT="0" distB="0" distL="0" distR="0">
            <wp:extent cx="1257300" cy="762000"/>
            <wp:effectExtent l="0" t="0" r="0" b="0"/>
            <wp:docPr id="1" name="Рисунок 1" descr="Почему центробанки обязаны стать «зелёными»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чему центробанки обязаны стать «зелёными»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19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Почему </w:t>
        </w:r>
        <w:proofErr w:type="spellStart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центробанки</w:t>
        </w:r>
        <w:proofErr w:type="spellEnd"/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 xml:space="preserve"> обязаны стать «зелёными»</w:t>
        </w:r>
      </w:hyperlink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20" w:history="1">
        <w:r w:rsidR="00EA33C8" w:rsidRPr="001C47AE">
          <w:rPr>
            <w:rFonts w:ascii="Times New Roman" w:hAnsi="Times New Roman" w:cs="Times New Roman"/>
            <w:color w:val="0000FF"/>
            <w:sz w:val="28"/>
            <w:szCs w:val="28"/>
            <w:bdr w:val="none" w:sz="0" w:space="0" w:color="auto" w:frame="1"/>
            <w:lang w:eastAsia="ru-RU"/>
          </w:rPr>
          <w:t>Нет сомнений в том, что изменение климата создаёт огромные экономические и ... →</w:t>
        </w:r>
      </w:hyperlink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Регуляторные инструменты по снижению рисков инвестирования также позволяют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мобилизовывать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масштабные частные инвестиции в «зеленые» проекты. ПРООН поддержала введение в Казахстане аукциона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ВИЭ  с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готовой документацией (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site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specific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RE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auction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). Ключевой момент заключается в том, что до начала аукциона в пакете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предпроектной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документации потенциальному инвестору заранее предоставляются технические данные и разрешительные документы для проекта, чтобы свести бюрократию к минимуму и сразу после победы на аукционе начать строительство. Это позволяет участникам торгов просчитать свои возможности, исключить «скрытые» риски и предложить еще более низкие тарифы в ходе торгов. В результате, пилотный аукцион позволил получить рекордно низкий тариф на киловатт солнечной энергии- 12,49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>/кВт*ч и привлечь прямые иностранные инвестиции в размере $40-50 млн в строительство солнечной электростанции мощностью 50 МВт в поселке Шаульдер Туркестанской области. Данный успешный подход продолжается Министерством энергетики РК самостоятельно, предлагая каждый год новые площадки для реализации проектов ВИЭ инвесторам.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Таким образом, для стимулирования «зеленых» инвестиций, ПРООН впервые разработала несколько финансовых и регуляторных инструментов, которые снижают риски и стоимость финансирования, упрощают процессы для инвесторов и конечных пользователей, а также воспроизводимы и масштабируемы. Мы не останавливаемся на достигнутом, сейчас рассматривается возможность интеграции страны в международные карбоновые рынки </w:t>
      </w:r>
      <w:proofErr w:type="gram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и  другие</w:t>
      </w:r>
      <w:proofErr w:type="gram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возможности для мобилизации устойчивых инвестиций в экономику Казахстана. Все эти инструменты направлены на развитие «зеленой» финансовой системы и содействие стране в достижении задачи по </w:t>
      </w:r>
      <w:proofErr w:type="spellStart"/>
      <w:r w:rsidRPr="001C47AE">
        <w:rPr>
          <w:rFonts w:ascii="Times New Roman" w:hAnsi="Times New Roman" w:cs="Times New Roman"/>
          <w:sz w:val="28"/>
          <w:szCs w:val="28"/>
          <w:lang w:eastAsia="ru-RU"/>
        </w:rPr>
        <w:t>низкоуглеродному</w:t>
      </w:r>
      <w:proofErr w:type="spellEnd"/>
      <w:r w:rsidRPr="001C47AE">
        <w:rPr>
          <w:rFonts w:ascii="Times New Roman" w:hAnsi="Times New Roman" w:cs="Times New Roman"/>
          <w:sz w:val="28"/>
          <w:szCs w:val="28"/>
          <w:lang w:eastAsia="ru-RU"/>
        </w:rPr>
        <w:t xml:space="preserve"> развитию. 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Материал подготовлен в рамках сотрудничества с ПРООН в Казахстане</w:t>
      </w:r>
    </w:p>
    <w:p w:rsidR="00A748DC" w:rsidRPr="001C47AE" w:rsidRDefault="00A748DC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47AE">
        <w:rPr>
          <w:rFonts w:ascii="Times New Roman" w:hAnsi="Times New Roman" w:cs="Times New Roman"/>
          <w:b/>
          <w:sz w:val="28"/>
          <w:szCs w:val="28"/>
        </w:rPr>
        <w:t>ПРОГРАММЫ: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Использование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энергоэффективных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технологий позволяет экономить до 80% эксплуатационных расходов зданий. В Казахстане проекты, нацеленные на рациональное потребление энергии, могут получить субсидию в 40% от общей стоимости. «Курсив» разбирался, как работает механизм, кто может рассчитывать на различные виды субсидий, и чем они отличаются друг от друга.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br/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br/>
        <w:t xml:space="preserve">Промышленность и здания – главные потребители энергии. И если доля промышленности в глобальном энергопотреблении в последние годы сокращается, то доля зданий, наоборот, растет, свидетельствуют данные Всемирного банка. То есть на системы отопления, вентиляции и кондиционирования зданий сейчас приходится самый большой расход энергии в мире.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Энергозатраты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зданий можно 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снизить на 60–80%, используя зеленые технологии, причем в Казахстане малый и средний бизнес (МСБ) может получить банковские гарантии и субсидии на реализацию таких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энергоэффективных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проектов. «Курсив» уточнил у экспертов, каким именно критериям должны соответствовать проекты, претендующие на зеленые субсидии.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b/>
          <w:bCs/>
          <w:color w:val="333333"/>
          <w:sz w:val="28"/>
          <w:szCs w:val="28"/>
          <w:lang w:eastAsia="ru-RU"/>
        </w:rPr>
        <w:t>Субсидии на зеленую городскую инфраструктуру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Подрядчик, который возводит здание или инфраструктуру, владелец объекта или даже сервисная компания могут получить субсидию до 40% суммы основного займа (но не более 180 млн тенге) на зеленые проекты по программе «Устойчивые города для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низкоуглеродного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развития». По условиям программы на финансовую поддержку могут рассчитывать представители МСБ в любых казахстанских городах, а также в пригородных поселках с населением более двух тысяч человек, если бизнес реализует проект, позволяющий снизить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энерго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- тепло- или водопотребление. К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br/>
        <w:t xml:space="preserve">примеру, можно устанавливать энергосберегающие лампы в зданиях, на прилегающей территории или городских улицах, заменить стеклопакеты на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энергоэффективные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, утеплить стены зданий и т. д.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noProof/>
          <w:color w:val="0000FF"/>
          <w:sz w:val="28"/>
          <w:szCs w:val="28"/>
          <w:shd w:val="clear" w:color="auto" w:fill="F0F0F0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https://cdn-kz.kursiv.media/wp-content/uploads/2023/04/9-4-1024x351.webp">
                  <a:hlinkClick xmlns:a="http://schemas.openxmlformats.org/drawingml/2006/main" r:id="rId2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6E4266" id="Прямоугольник 7" o:spid="_x0000_s1026" alt="https://cdn-kz.kursiv.media/wp-content/uploads/2023/04/9-4-1024x351.webp" href="https://cdn-kz.kursiv.media/wp-content/uploads/2023/04/9-4-1024x351.web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Программа «Устойчивые города для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низкоуглеродного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развития» была запущена ПРООН при финансовой поддержке Глобального экологического фонда (национальный партнер в республике – МИИР РК) еще в 2017 году. За неполные шесть лет субсидии получили около сорока заявителей на проекты общей суммой примерно $5 млн.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Программа поддержки ориентирована на тех, кто стремится поднять планку «зеленого» здания выше установленного минимума. Если заявитель планирует просто дотянуть объект до законодательных норм, в субсидии откажут. Кроме того, программой установлены ограничения по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br/>
        <w:t>эффективности проекта, объему и ставке кредита, срокам окупаемости. Участниками проекта не могут быть заявители, доля участия государства в которых более 50% (за исключением ГЧП). А кредиторами – национальные институты развития, национальные компании. Субсидию не выделят, если ставка по кредиту уже удешевлена за счет бюджетных средств.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«По сути, вся поддержка ориентирована на заявителей из МСБ, стремящихся снизить </w:t>
      </w:r>
      <w:proofErr w:type="spellStart"/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>энерго</w:t>
      </w:r>
      <w:proofErr w:type="spellEnd"/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- и теплопотребление, но не имеющих для этого достаточно средств. Мы поддерживаем как инвестиции в строительство или модернизацию, так и пополнение оборотных средств. Если срок окупаемости менее двух лет, мы предполагаем, что такой </w:t>
      </w:r>
      <w:proofErr w:type="spellStart"/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>быстроокупаемый</w:t>
      </w:r>
      <w:proofErr w:type="spellEnd"/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проект заявитель может реализовать самостоятельно», – поясняет консультант проекта ПРООН-ГЭФ</w:t>
      </w:r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br/>
      </w:r>
      <w:proofErr w:type="spellStart"/>
      <w:r w:rsidRPr="001C47AE">
        <w:rPr>
          <w:rFonts w:ascii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Алия</w:t>
      </w:r>
      <w:proofErr w:type="spellEnd"/>
      <w:r w:rsidRPr="001C47AE">
        <w:rPr>
          <w:rFonts w:ascii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1C47AE">
        <w:rPr>
          <w:rFonts w:ascii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Салимжуарова</w:t>
      </w:r>
      <w:proofErr w:type="spellEnd"/>
      <w:r w:rsidRPr="001C47AE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Успеть реализовать проект нужно за пять месяцев (150 дней) с момента одобрения субсидии (возможно продление срока еще на 30 дней при возникновении обстоятельств непреодолимой силы). Субсидия предоставляется после ввода объекта в эксплуатацию.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b/>
          <w:bCs/>
          <w:color w:val="333333"/>
          <w:sz w:val="28"/>
          <w:szCs w:val="28"/>
          <w:lang w:eastAsia="ru-RU"/>
        </w:rPr>
        <w:t>Субсидии на альтернативную энергию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lastRenderedPageBreak/>
        <w:t>Еще одна программа ПРООН-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ГЭФ направлена на стимулирование инвестиций в возобновляемые источники энергии (ВИЭ). Представители МСБ могут за счет субсидий удешевить банковские кредиты на возведение солнечных и ветровых электростанций, </w:t>
      </w:r>
      <w:proofErr w:type="spellStart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гелиоколлекторов</w:t>
      </w:r>
      <w:proofErr w:type="spellEnd"/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, строительство</w:t>
      </w:r>
      <w:r w:rsidRPr="001C47AE">
        <w:rPr>
          <w:rFonts w:ascii="Times New Roman" w:hAnsi="Times New Roman" w:cs="Times New Roman"/>
          <w:color w:val="333333"/>
          <w:sz w:val="28"/>
          <w:szCs w:val="28"/>
          <w:lang w:eastAsia="ru-RU"/>
        </w:rPr>
        <w:br/>
        <w:t>мини-ГЭС.</w:t>
      </w: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EA33C8" w:rsidRPr="001C47AE" w:rsidRDefault="001C47AE" w:rsidP="001C47AE">
      <w:pPr>
        <w:pStyle w:val="a7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C47AE">
        <w:rPr>
          <w:rFonts w:ascii="Times New Roman" w:hAnsi="Times New Roman" w:cs="Times New Roman"/>
          <w:b/>
          <w:sz w:val="28"/>
          <w:szCs w:val="28"/>
        </w:rPr>
        <w:t>Задания для письменного задания:</w:t>
      </w:r>
    </w:p>
    <w:p w:rsidR="001C47AE" w:rsidRPr="001C47AE" w:rsidRDefault="001C47AE" w:rsidP="001C47A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C47AE">
        <w:rPr>
          <w:rFonts w:ascii="Times New Roman" w:hAnsi="Times New Roman" w:cs="Times New Roman"/>
          <w:b/>
          <w:sz w:val="28"/>
          <w:szCs w:val="28"/>
        </w:rPr>
        <w:t>Расписать программы «Зеленой экономике» в Республике Казахстан.</w:t>
      </w:r>
    </w:p>
    <w:bookmarkEnd w:id="0"/>
    <w:p w:rsidR="00EA33C8" w:rsidRPr="001C47AE" w:rsidRDefault="00EA33C8" w:rsidP="001C47AE">
      <w:pPr>
        <w:pStyle w:val="a7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sectPr w:rsidR="00EA33C8" w:rsidRPr="001C4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3209"/>
    <w:multiLevelType w:val="hybridMultilevel"/>
    <w:tmpl w:val="74766E4A"/>
    <w:lvl w:ilvl="0" w:tplc="C7045F68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D70"/>
    <w:rsid w:val="001C47AE"/>
    <w:rsid w:val="00496D70"/>
    <w:rsid w:val="008D3AEE"/>
    <w:rsid w:val="00A36EE9"/>
    <w:rsid w:val="00A748DC"/>
    <w:rsid w:val="00EA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A7F7C"/>
  <w15:chartTrackingRefBased/>
  <w15:docId w15:val="{89B9CDEF-775D-473E-9484-28289D6B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33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A33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33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33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EA33C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A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A33C8"/>
    <w:rPr>
      <w:b/>
      <w:bCs/>
    </w:rPr>
  </w:style>
  <w:style w:type="paragraph" w:customStyle="1" w:styleId="intro">
    <w:name w:val="intro"/>
    <w:basedOn w:val="a"/>
    <w:rsid w:val="00EA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rowreadmoreshadow">
    <w:name w:val="arrow_read_more_shadow"/>
    <w:basedOn w:val="a0"/>
    <w:rsid w:val="00EA33C8"/>
  </w:style>
  <w:style w:type="character" w:styleId="a6">
    <w:name w:val="Emphasis"/>
    <w:basedOn w:val="a0"/>
    <w:uiPriority w:val="20"/>
    <w:qFormat/>
    <w:rsid w:val="00EA33C8"/>
    <w:rPr>
      <w:i/>
      <w:iCs/>
    </w:rPr>
  </w:style>
  <w:style w:type="paragraph" w:styleId="a7">
    <w:name w:val="No Spacing"/>
    <w:uiPriority w:val="1"/>
    <w:qFormat/>
    <w:rsid w:val="001C47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18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53596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83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38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643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8025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965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249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711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0766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279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158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87458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7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08609">
          <w:blockQuote w:val="1"/>
          <w:marLeft w:val="0"/>
          <w:marRight w:val="5535"/>
          <w:marTop w:val="100"/>
          <w:marBottom w:val="100"/>
          <w:divBdr>
            <w:top w:val="none" w:sz="0" w:space="0" w:color="auto"/>
            <w:left w:val="single" w:sz="18" w:space="15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hyperlink" Target="https://cdn-kz.kursiv.media/wp-content/uploads/2023/04/9-4-1024x351.webp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s://forbes.kz/life/opinion/kak_finansirovat_zelenuyu_infrastrukturu/?utm_source=forbes&amp;utm_medium=incut&amp;utm_campaign=287047" TargetMode="External"/><Relationship Id="rId17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1" Type="http://schemas.openxmlformats.org/officeDocument/2006/relationships/hyperlink" Target="https://nationalbank.kz/ru/news/press-relizy/1411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forbes.kz/life/opinion/kak_finansirovat_zelenuyu_infrastrukturu/?utm_source=forbes&amp;utm_medium=incut&amp;utm_campaign=287047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nationalbank.kz/ru/exchangerates/ezhednevnye-oficialnye-rynochnye-kursy-valyut/report?rates%5B%5D=5&amp;beginDate=2022-07-01&amp;endDate=2022-09-01" TargetMode="External"/><Relationship Id="rId19" Type="http://schemas.openxmlformats.org/officeDocument/2006/relationships/hyperlink" Target="https://forbes.kz/life/opinion/pochemu_tsentrobanki_obyazanyi_stat_zelenyimi/?utm_source=forbes&amp;utm_medium=incut&amp;utm_campaign=28464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bes.kz/process/energetics/kazahstan_obespechit_evrosoyuz_zelenyim_vodorodom/?utm_source=forbes&amp;utm_medium=incut&amp;utm_campaign=287482" TargetMode="External"/><Relationship Id="rId14" Type="http://schemas.openxmlformats.org/officeDocument/2006/relationships/hyperlink" Target="https://forbes.kz/life/opinion/kak_finansirovat_zelenuyu_infrastrukturu/?utm_source=forbes&amp;utm_medium=incut&amp;utm_campaign=287047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2218</Words>
  <Characters>12646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7</cp:revision>
  <dcterms:created xsi:type="dcterms:W3CDTF">2024-09-05T10:57:00Z</dcterms:created>
  <dcterms:modified xsi:type="dcterms:W3CDTF">2024-09-26T07:22:00Z</dcterms:modified>
</cp:coreProperties>
</file>